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CD" w:rsidRDefault="006E4C53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AA05CD" w:rsidRDefault="00DD700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6E4C53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bookmarkStart w:id="1" w:name="_GoBack"/>
      <w:bookmarkEnd w:id="1"/>
      <w:r w:rsidR="006E4C53"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AA05CD" w:rsidRDefault="006E4C5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AA05CD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Klinik Farmakoloji Staj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518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Kültür Merkezi Derslikleri, Sanal Klinikler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364CDF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AA05C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AA05CD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AA05CD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AA05CD" w:rsidRDefault="00AA0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sz w:val="20"/>
                <w:szCs w:val="20"/>
              </w:rPr>
            </w:pPr>
          </w:p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Esra SAĞLAM, Maltepe Üniversitesi, Tıp Fakültesi</w:t>
            </w:r>
          </w:p>
          <w:p w:rsidR="00AA05CD" w:rsidRDefault="006E4C53">
            <w:pP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Farmakoloji Anabilim Dalı</w:t>
            </w:r>
          </w:p>
          <w:p w:rsidR="00AA05CD" w:rsidRDefault="006E4C53">
            <w:pP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esraksaglam@gmail.com</w:t>
            </w:r>
          </w:p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</w:p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Pazartesi:10.00-12.00</w:t>
            </w:r>
          </w:p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AA05CD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AA05CD" w:rsidRDefault="00AA05C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  Prof. Dr. Esra SAĞLAM, Maltepe Üniversitesi, Tıp Fakültesi 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Tıbbi Farmakoloji Anabilim Dalı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esraksaglam@gmail.com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Pazartesi:10.00-12.00</w:t>
                  </w:r>
                </w:p>
                <w:p w:rsidR="00AA05CD" w:rsidRDefault="00AA05C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Dr. Öğr. Üyesi Tuğba GÜMÜŞTAŞ, Maltepe Üniversitesi, Tıp Fakültesi</w:t>
                  </w:r>
                </w:p>
                <w:p w:rsidR="00AA05CD" w:rsidRDefault="006E4C53">
                  <w:pP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Tıbbi Farmakoloji Anabilim Dalı</w:t>
                  </w:r>
                </w:p>
                <w:p w:rsidR="00AA05CD" w:rsidRDefault="00DD70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5">
                    <w:r w:rsidR="006E4C53">
                      <w:rPr>
                        <w:color w:val="1155CC"/>
                        <w:sz w:val="20"/>
                        <w:szCs w:val="20"/>
                        <w:u w:val="single"/>
                      </w:rPr>
                      <w:t>tugba.gumustas@maltepe.edu.tr</w:t>
                    </w:r>
                  </w:hyperlink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lastRenderedPageBreak/>
                    <w:t>Görüşme saatleri: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Salı:10.00-12.00</w:t>
                  </w:r>
                </w:p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Bu stajın genel amacı öğrencilere aşağıdaki konularda bilgi ve beceri kazandırmaktır: Rasyonel farmakoterapi kararı verebilmek için mevcut tedavi alternatiflerini “etkililik”, güvenlilik”, uygunluk” ve “maliyet” açısından karşılaştırarak en doğrusunu belirlemede akılcı bir yol geliştirme; İyi ve doğru” reçete yazma, Hastaları hastalıkları ve tedavileri/ilaçları hakkında bilgilendirme, Iyi bir hasta-hekim iletişimi kurma ve böylece hastaların tedaviye uyumlarını artırma; Ilaç dozaj formları ve ilaç uygulama yöntemleri konusunda ustalaşma konusunda bilgi ve becerilerini arttırmayı amaçlar. 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AA05CD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DERSİN ÖĞRENME ÇIKTILARI, ALT BECERİLER ve YETERLİLİKLER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Bu dersi tamamlayan öğrenciler;</w:t>
            </w:r>
          </w:p>
          <w:p w:rsidR="00AA05CD" w:rsidRDefault="00AA05CD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  <w:tbl>
            <w:tblPr>
              <w:tblStyle w:val="a6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40"/>
              <w:gridCol w:w="5760"/>
              <w:gridCol w:w="1350"/>
              <w:gridCol w:w="1140"/>
            </w:tblGrid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Sıra No.</w:t>
                  </w:r>
                </w:p>
              </w:tc>
              <w:tc>
                <w:tcPr>
                  <w:tcW w:w="576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Öğrenme Çıktısı / Alt Beceri / Yeterlilikler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Eğitim Yöntemi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ÖD Yöntemi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Doğru, okunaklı reçete ve e-reçete yazabilir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EY4, EY8,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2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Uygulanacak ilaçları doğru şekilde çözebilir ve karıştırabilir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 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3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Uygulanacak ilaç dozlarını doğru hesaplayabilir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4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Tanıyı ayrıntılı biçimde tanımlayabilir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5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Tedavi amaçlarını belirleyebilir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6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Etkin ilaç gruplarının listesinin yapabilir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 ÖD1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7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Belirlenen kriterlere göre etkili bir ilaç grubunu (</w:t>
                  </w:r>
                  <w:r>
                    <w:rPr>
                      <w:rFonts w:ascii="Calibri" w:eastAsia="Calibri" w:hAnsi="Calibri" w:cs="Calibri"/>
                      <w:i/>
                    </w:rPr>
                    <w:t>K-grup</w:t>
                  </w:r>
                  <w:r>
                    <w:rPr>
                      <w:rFonts w:ascii="Calibri" w:eastAsia="Calibri" w:hAnsi="Calibri" w:cs="Calibri"/>
                    </w:rPr>
                    <w:t>) seçebilir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8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K-grubun içinden K-ilacını seçebilir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lastRenderedPageBreak/>
                    <w:t>9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K-ilaç kavramını tanımlayabilir, avantaj ve dezavantajlarını fark edebilir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10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Verilen bir indikasyon için, “</w:t>
                  </w:r>
                  <w:r>
                    <w:rPr>
                      <w:rFonts w:ascii="Calibri" w:eastAsia="Calibri" w:hAnsi="Calibri" w:cs="Calibri"/>
                      <w:i/>
                    </w:rPr>
                    <w:t>etkinlik, güvenlilik, uygunluk</w:t>
                  </w:r>
                  <w:r>
                    <w:rPr>
                      <w:rFonts w:ascii="Calibri" w:eastAsia="Calibri" w:hAnsi="Calibri" w:cs="Calibri"/>
                    </w:rPr>
                    <w:t xml:space="preserve"> ve </w:t>
                  </w:r>
                  <w:r>
                    <w:rPr>
                      <w:rFonts w:ascii="Calibri" w:eastAsia="Calibri" w:hAnsi="Calibri" w:cs="Calibri"/>
                      <w:i/>
                    </w:rPr>
                    <w:t>maliyet</w:t>
                  </w:r>
                  <w:r>
                    <w:rPr>
                      <w:rFonts w:ascii="Calibri" w:eastAsia="Calibri" w:hAnsi="Calibri" w:cs="Calibri"/>
                    </w:rPr>
                    <w:t>”</w:t>
                  </w:r>
                  <w:r>
                    <w:rPr>
                      <w:rFonts w:ascii="Calibri" w:eastAsia="Calibri" w:hAnsi="Calibri" w:cs="Calibri"/>
                      <w:i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</w:rPr>
                    <w:t xml:space="preserve">açısından karşılaştırarak, adım adım K-ilaç seçme deneyimine aktif olarak katılabilir 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11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Tanı ile tedavi amaçlarını, tedavi amaçları ile ilgili K-ilaçları bağlantılandırabilir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12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İlaç tedavisi planlayabilir.  Hasta ile iyi iletişim kurabilir ve tedavinin anlaşılır olmasını sağlayabilir.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EY8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13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Gebelik emzirme gibi özellikli popülasyonda ilaç kararı verebilir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ÖD7,ÖD1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14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İlaç-ilaç etkileşimlerini değerlendirebilir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EY10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</w:tbl>
          <w:p w:rsidR="00AA05CD" w:rsidRDefault="00AA05CD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Tüm bu bilgilerin yardımıyla klinik </w:t>
            </w:r>
            <w:proofErr w:type="gramStart"/>
            <w:r>
              <w:rPr>
                <w:rFonts w:ascii="Calibri" w:eastAsia="Calibri" w:hAnsi="Calibri" w:cs="Calibri"/>
              </w:rPr>
              <w:t>farmakoloji  stajı</w:t>
            </w:r>
            <w:proofErr w:type="gramEnd"/>
            <w:r>
              <w:rPr>
                <w:rFonts w:ascii="Calibri" w:eastAsia="Calibri" w:hAnsi="Calibri" w:cs="Calibri"/>
              </w:rPr>
              <w:t xml:space="preserve"> yapan bir öğrenci akılcı ilaç konusunda hastanın tedavisini düzenleyip anlatabilecek seviyeye gelir. Gebelik, emzirme dönemi gibi özellikli hasta popülasyonlarında tedavi planlayabilir.</w:t>
            </w:r>
          </w:p>
        </w:tc>
      </w:tr>
    </w:tbl>
    <w:p w:rsidR="00AA05CD" w:rsidRDefault="00AA05CD"/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DSÖ Reçete Yazma Rehberi, Kısım 2, “K-ilaçların seçimi”, s. 13-31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●</w:t>
            </w:r>
            <w:r>
              <w:rPr>
                <w:rFonts w:ascii="Calibri" w:eastAsia="Calibri" w:hAnsi="Calibri" w:cs="Calibri"/>
              </w:rPr>
              <w:tab/>
              <w:t xml:space="preserve">TİK, 6 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Rasyonel Tedavi Yönünden Tıbbi Farmakoloji, S.O.Kayaalp</w:t>
            </w:r>
            <w:proofErr w:type="gramStart"/>
            <w:r>
              <w:rPr>
                <w:rFonts w:ascii="Calibri" w:eastAsia="Calibri" w:hAnsi="Calibri" w:cs="Calibri"/>
              </w:rPr>
              <w:t>,10</w:t>
            </w:r>
            <w:proofErr w:type="gramEnd"/>
            <w:r>
              <w:rPr>
                <w:rFonts w:ascii="Calibri" w:eastAsia="Calibri" w:hAnsi="Calibri" w:cs="Calibri"/>
              </w:rPr>
              <w:t>. baskı, 2002: Bölüm 3,Konu 43, “Beta-adrenerjik reseptör blokerleri“, s.545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Rasyonel Tedavi Yönünden Tıbbi Farmakoloji, S.O.Kayaalp</w:t>
            </w:r>
            <w:proofErr w:type="gramStart"/>
            <w:r>
              <w:rPr>
                <w:rFonts w:ascii="Calibri" w:eastAsia="Calibri" w:hAnsi="Calibri" w:cs="Calibri"/>
              </w:rPr>
              <w:t>,10</w:t>
            </w:r>
            <w:proofErr w:type="gramEnd"/>
            <w:r>
              <w:rPr>
                <w:rFonts w:ascii="Calibri" w:eastAsia="Calibri" w:hAnsi="Calibri" w:cs="Calibri"/>
              </w:rPr>
              <w:t>. baskı, 2002: Bölüm 3, Konu 38, “Antihipertansif İlaçlar” s. 429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Hypertension: A Companion to Braunwald's Heart Disease, Third Edition 2018,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Goodman&amp;Gilman’ın Farmakoloji ve Tedavi El Kitabı, 2. Baskı, 2017.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Rosenfeld RM. Acute Sinusitis in Adults. N Engl J Med 2016; 375, 962-70.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DeMuri GP, Wald Ellen R. Acute Bacterial Sinusitis in Children. . N Engl J Med 2012; 367:1128-34.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Seely EW, Ecker J. Chronic Hypertension in Pregnancy. 2011; 365:439-46.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Solomon CG. Initial Treatment of Hypertension. 2018</w:t>
            </w:r>
            <w:proofErr w:type="gramStart"/>
            <w:r>
              <w:rPr>
                <w:rFonts w:ascii="Calibri" w:eastAsia="Calibri" w:hAnsi="Calibri" w:cs="Calibri"/>
              </w:rPr>
              <w:t>;378:636</w:t>
            </w:r>
            <w:proofErr w:type="gramEnd"/>
            <w:r>
              <w:rPr>
                <w:rFonts w:ascii="Calibri" w:eastAsia="Calibri" w:hAnsi="Calibri" w:cs="Calibri"/>
              </w:rPr>
              <w:t>-44.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Katzung 15. Baskı, 2021.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Goodman Gilman’s The Pharmacological Basis of Therapeutics, 13th Ed. 2018</w:t>
            </w:r>
          </w:p>
          <w:p w:rsidR="00AA05CD" w:rsidRDefault="006E4C5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●     Birinci Basamağa Yönelik Tanı ve Tedavi Rehberler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6E4C5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Yardımcı Okumalar</w:t>
            </w:r>
          </w:p>
          <w:p w:rsidR="00AA05CD" w:rsidRDefault="006E4C53">
            <w:pPr>
              <w:numPr>
                <w:ilvl w:val="0"/>
                <w:numId w:val="2"/>
              </w:numPr>
              <w:tabs>
                <w:tab w:val="left" w:pos="284"/>
              </w:tabs>
              <w:ind w:left="0" w:hanging="2"/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Unger, Thomas, et al. "2020 International Society of Hypertension global hypertension practice guidelines." </w:t>
            </w:r>
            <w:r>
              <w:rPr>
                <w:rFonts w:ascii="Calibri" w:eastAsia="Calibri" w:hAnsi="Calibri" w:cs="Calibri"/>
                <w:i/>
                <w:color w:val="222222"/>
                <w:highlight w:val="white"/>
              </w:rPr>
              <w:t>Hypertension</w:t>
            </w:r>
            <w:r>
              <w:rPr>
                <w:rFonts w:ascii="Calibri" w:eastAsia="Calibri" w:hAnsi="Calibri" w:cs="Calibri"/>
                <w:color w:val="222222"/>
                <w:highlight w:val="white"/>
              </w:rPr>
              <w:t> 75.6 (2020): 1334-1357.</w:t>
            </w:r>
          </w:p>
          <w:p w:rsidR="00AA05CD" w:rsidRDefault="006E4C53">
            <w:pPr>
              <w:numPr>
                <w:ilvl w:val="0"/>
                <w:numId w:val="2"/>
              </w:numPr>
              <w:tabs>
                <w:tab w:val="left" w:pos="284"/>
              </w:tabs>
              <w:ind w:left="0" w:hanging="2"/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Grassi, G. (2019). The European Society of Cardiology (ESC)/European Society of Hypertension (ESH) 2018 guidelines for hypertension diagnosis and treatment: New concepts and recommendations. </w:t>
            </w:r>
            <w:r>
              <w:rPr>
                <w:rFonts w:ascii="Calibri" w:eastAsia="Calibri" w:hAnsi="Calibri" w:cs="Calibri"/>
                <w:i/>
                <w:color w:val="222222"/>
                <w:highlight w:val="white"/>
              </w:rPr>
              <w:t>Pharmacological research</w:t>
            </w:r>
            <w:r>
              <w:rPr>
                <w:rFonts w:ascii="Calibri" w:eastAsia="Calibri" w:hAnsi="Calibri" w:cs="Calibri"/>
                <w:color w:val="222222"/>
                <w:highlight w:val="white"/>
              </w:rPr>
              <w:t>, </w:t>
            </w:r>
            <w:r>
              <w:rPr>
                <w:rFonts w:ascii="Calibri" w:eastAsia="Calibri" w:hAnsi="Calibri" w:cs="Calibri"/>
                <w:i/>
                <w:color w:val="222222"/>
                <w:highlight w:val="white"/>
              </w:rPr>
              <w:t>139</w:t>
            </w:r>
            <w:r>
              <w:rPr>
                <w:rFonts w:ascii="Calibri" w:eastAsia="Calibri" w:hAnsi="Calibri" w:cs="Calibri"/>
                <w:color w:val="222222"/>
                <w:highlight w:val="white"/>
              </w:rPr>
              <w:t>, 489-490.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ind w:left="360"/>
              <w:rPr>
                <w:rFonts w:ascii="Calibri" w:eastAsia="Calibri" w:hAnsi="Calibri" w:cs="Calibri"/>
                <w:b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AA05CD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%20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%20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%60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AA05CD" w:rsidRDefault="00AA05C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Calibri" w:eastAsia="Calibri" w:hAnsi="Calibri" w:cs="Calibri"/>
              </w:rPr>
              <w:t>1. Ders katılımında devamsızlığı %80’in altında olan öğrenciler sınava giremez.</w:t>
            </w:r>
          </w:p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 Toplam %60 altı alan öğrenciler başarısız sayılırlar.</w:t>
            </w:r>
          </w:p>
          <w:p w:rsidR="00AA05CD" w:rsidRDefault="00AA05C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Ölçme Değerlendirme Sistemi, T.C. Maltepe Üniversitesi Tıp Fakültesi Eğitim ve Öğretim Yönetmeliğine göre düzenlenmektedir.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785" w:type="dxa"/>
              <w:tblInd w:w="5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80"/>
              <w:gridCol w:w="870"/>
              <w:gridCol w:w="945"/>
              <w:gridCol w:w="990"/>
            </w:tblGrid>
            <w:tr w:rsidR="00AA05CD">
              <w:trPr>
                <w:trHeight w:val="578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Süresi (Saat)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Toplam</w:t>
                  </w:r>
                  <w:r>
                    <w:rPr>
                      <w:b/>
                      <w:sz w:val="20"/>
                      <w:szCs w:val="20"/>
                    </w:rPr>
                    <w:br/>
                    <w:t>İş Yükü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AA05CD">
              <w:trPr>
                <w:trHeight w:val="285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28</w:t>
                  </w:r>
                </w:p>
              </w:tc>
            </w:tr>
            <w:tr w:rsidR="00AA05CD">
              <w:trPr>
                <w:trHeight w:val="297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05CD">
              <w:trPr>
                <w:trHeight w:val="297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AA05CD">
              <w:trPr>
                <w:trHeight w:val="300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6795" w:type="dxa"/>
                  <w:gridSpan w:val="3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Toplam İş Yükü 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95</w:t>
                  </w: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KLINIK FARMAKOLOJI STAJININ  ÖĞRENİM ÇIKTILARININ EĞİTİM PROGRAMI YETERLİLİKLERİ İLE İLİŞKİSİ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AA05CD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AA05CD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pPr w:leftFromText="180" w:rightFromText="180" w:topFromText="180" w:bottomFromText="180" w:vertAnchor="text" w:tblpX="15" w:tblpY="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</w:trPr>
        <w:tc>
          <w:tcPr>
            <w:tcW w:w="9029" w:type="dxa"/>
            <w:shd w:val="clear" w:color="auto" w:fill="D9D9D9"/>
            <w:vAlign w:val="center"/>
          </w:tcPr>
          <w:p w:rsidR="00AA05CD" w:rsidRDefault="006E4C53" w:rsidP="006E4C5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DÖNEM 5 TIP 518 KLINIK FARMAKOLOJI STAJ PROGRAMI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DERS LİSTESİ VE SIRALAMASI</w:t>
            </w:r>
          </w:p>
        </w:tc>
      </w:tr>
      <w:tr w:rsidR="00AA05CD">
        <w:trPr>
          <w:trHeight w:val="380"/>
        </w:trPr>
        <w:tc>
          <w:tcPr>
            <w:tcW w:w="9029" w:type="dxa"/>
            <w:vAlign w:val="center"/>
          </w:tcPr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7978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78"/>
            </w:tblGrid>
            <w:tr w:rsidR="00AA05CD">
              <w:trPr>
                <w:trHeight w:val="6487"/>
                <w:jc w:val="center"/>
              </w:trPr>
              <w:tc>
                <w:tcPr>
                  <w:tcW w:w="7978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AA05CD" w:rsidRDefault="00AA05CD" w:rsidP="00DD7002">
                  <w:pPr>
                    <w:framePr w:hSpace="180" w:vSpace="180" w:wrap="around" w:vAnchor="text" w:hAnchor="text" w:x="15" w:y="1"/>
                    <w:widowControl w:val="0"/>
                    <w:rPr>
                      <w:rFonts w:ascii="Calibri" w:eastAsia="Calibri" w:hAnsi="Calibri" w:cs="Calibri"/>
                    </w:rPr>
                  </w:pPr>
                </w:p>
                <w:tbl>
                  <w:tblPr>
                    <w:tblStyle w:val="af2"/>
                    <w:tblW w:w="7590" w:type="dxa"/>
                    <w:tblInd w:w="13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140"/>
                    <w:gridCol w:w="3450"/>
                  </w:tblGrid>
                  <w:tr w:rsidR="00AA05CD" w:rsidTr="006E4C53">
                    <w:trPr>
                      <w:trHeight w:val="834"/>
                    </w:trPr>
                    <w:tc>
                      <w:tcPr>
                        <w:tcW w:w="4140" w:type="dxa"/>
                        <w:vAlign w:val="center"/>
                      </w:tcPr>
                      <w:p w:rsidR="00AA05CD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Stajın tanıtımı: Tanışma, öğrenim ilkeleri ve stajın işleyişi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AA05CD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 w:rsidTr="006E4C53">
                    <w:trPr>
                      <w:trHeight w:val="367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Rasyonel farmakoterapi ilkeleri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K(işisel)-ilaçlar / “MAUA” formlarının tanıtımı</w:t>
                        </w:r>
                        <w:r>
                          <w:rPr>
                            <w:rFonts w:ascii="Calibri" w:eastAsia="Calibri" w:hAnsi="Calibri" w:cs="Calibri"/>
                            <w:smallCap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Doğru reçete yazma kuralları, E-reçete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Ödevlerin paylaştırılması ve kanıta dayalı kaynaklara ulaşma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tanısı, tedavi hedefleri ve non-farmakolojik tedavi yöntemleri için grup çalışmaları ve öğrenci sunumları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için tedavi ilkeleri ve farmakolojik tedavi grup çalışmaları ve öğrenci sunumları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Özel gruplar için esansiyel hipertansiyon tedavisi grup çalışmaları ve öğrenci sunumları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0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için formüler hazırlama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15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15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İlaç uygulama yolları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Gebelik ve emzirme döneminde akılcı ilaç kullanımı 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İlaç güvenliliği, farmakovijilans sistemi ve advers etki bildirimi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533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spacing w:before="240" w:after="2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İlaç-ilaç etkileşimleri ve klinik önemi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DD7002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</w:tbl>
                <w:p w:rsidR="00AA05CD" w:rsidRDefault="00AA05CD" w:rsidP="00DD7002">
                  <w:pPr>
                    <w:framePr w:hSpace="180" w:vSpace="180" w:wrap="around" w:vAnchor="text" w:hAnchor="text" w:x="15" w:y="1"/>
                    <w:ind w:hanging="2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AA05CD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495"/>
        <w:gridCol w:w="2721"/>
        <w:gridCol w:w="2608"/>
        <w:gridCol w:w="2609"/>
      </w:tblGrid>
      <w:tr w:rsidR="00AA05CD">
        <w:tc>
          <w:tcPr>
            <w:tcW w:w="14170" w:type="dxa"/>
            <w:gridSpan w:val="6"/>
            <w:shd w:val="clear" w:color="auto" w:fill="DDDDDD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518 KLINIK FARMAKOLOJI STAJI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PROGRAMI</w:t>
            </w:r>
          </w:p>
        </w:tc>
      </w:tr>
      <w:tr w:rsidR="00AA05CD">
        <w:tc>
          <w:tcPr>
            <w:tcW w:w="14170" w:type="dxa"/>
            <w:gridSpan w:val="6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AA05CD"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495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721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9:00-9:50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Stajın tanıtımı: Tanışma, öğrenim ilkeleri ve stajın işleyişi</w:t>
            </w: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Rasyonel farmakoterapi ilkeleri</w:t>
            </w:r>
          </w:p>
        </w:tc>
        <w:tc>
          <w:tcPr>
            <w:tcW w:w="2495" w:type="dxa"/>
            <w:vMerge w:val="restart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tanısı, tedavi hedefleri ve non-farmakolojik tedavi yöntemleri için grup çalışmaları ve öğrenci sunumları</w:t>
            </w:r>
          </w:p>
        </w:tc>
        <w:tc>
          <w:tcPr>
            <w:tcW w:w="2721" w:type="dxa"/>
            <w:vMerge w:val="restart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için tedavi ilkeleri ve farmakolojik tedavi grup çalışmaları ve öğrenci sunumları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  <w:tc>
          <w:tcPr>
            <w:tcW w:w="2609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10:00-10:50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K(işisel)-ilaçlar / “MAUA” formlarının tanıtımı</w:t>
            </w:r>
            <w:r>
              <w:rPr>
                <w:rFonts w:ascii="Calibri" w:eastAsia="Calibri" w:hAnsi="Calibri" w:cs="Calibri"/>
                <w:smallCaps/>
              </w:rPr>
              <w:t xml:space="preserve"> 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11:00-11:50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Reçete yazma kuralları, E-reçete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12:00-12:50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Ödevlerin paylaştırılması ve kanıta dayalı kaynaklara ulaşma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795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14:00-14:50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Ödev için serbest çalışma</w:t>
            </w:r>
          </w:p>
        </w:tc>
        <w:tc>
          <w:tcPr>
            <w:tcW w:w="2495" w:type="dxa"/>
            <w:vMerge w:val="restart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tanısı, tedavi hedefleri ve non-farmakolojik tedavi yöntemleri için grup çalışmaları ve öğrenci sunumları</w:t>
            </w:r>
          </w:p>
          <w:p w:rsidR="00AA05CD" w:rsidRDefault="00AA05CD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 w:val="restart"/>
            <w:vAlign w:val="center"/>
          </w:tcPr>
          <w:p w:rsidR="00AA05CD" w:rsidRDefault="00AA05CD">
            <w:pPr>
              <w:spacing w:line="276" w:lineRule="auto"/>
              <w:ind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Özel gruplar için esansiyel hipertansiyon tedavisi grup çalışmaları ve öğrenci sunumları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  <w:tc>
          <w:tcPr>
            <w:tcW w:w="2609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</w:tr>
      <w:tr w:rsidR="00AA05CD">
        <w:trPr>
          <w:trHeight w:val="885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15:00-15:50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16:00-16:50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için formüler hazırlama</w:t>
            </w:r>
          </w:p>
        </w:tc>
      </w:tr>
      <w:tr w:rsidR="00AA05CD">
        <w:tc>
          <w:tcPr>
            <w:tcW w:w="14170" w:type="dxa"/>
            <w:gridSpan w:val="6"/>
            <w:shd w:val="clear" w:color="auto" w:fill="EEECE1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c>
          <w:tcPr>
            <w:tcW w:w="14170" w:type="dxa"/>
            <w:gridSpan w:val="6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9:00-9:50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Önceki haftanın  değerlendirmesi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 w:val="restart"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örnek olgu çözümleme</w:t>
            </w:r>
          </w:p>
        </w:tc>
        <w:tc>
          <w:tcPr>
            <w:tcW w:w="2721" w:type="dxa"/>
            <w:vMerge w:val="restart"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örnek olgu çözümleme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609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OSCE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10:00-10:50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örnek olgu çözümleme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11:00-11:50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12:00-12:50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</w:t>
            </w: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14:00-14:50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İlaç uygulama yolları</w:t>
            </w: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A grubu</w:t>
            </w:r>
          </w:p>
        </w:tc>
        <w:tc>
          <w:tcPr>
            <w:tcW w:w="2495" w:type="dxa"/>
            <w:vMerge w:val="restart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İlaç uygulama yolları</w:t>
            </w: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B grubu</w:t>
            </w:r>
          </w:p>
        </w:tc>
        <w:tc>
          <w:tcPr>
            <w:tcW w:w="2721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Gebelik ve emzirme döneminde akılcı ilaç kullanımı 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 w:val="restart"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15:00-15:50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İlaç güvenliği, farmakovijilans sistemi ve advers etki bildirimi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16:00-16:50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İlaç-ilaç etkileşimleri ve klinik önemi</w:t>
            </w:r>
          </w:p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Klinik Farmakoloji konsültasyonu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AA05CD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</w:p>
    <w:p w:rsidR="00AA05CD" w:rsidRDefault="00AA05C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4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AA05CD" w:rsidTr="00AA05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AA05C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A05CD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AA05CD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AA05CD" w:rsidRDefault="00AA05CD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6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AA05C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AA05CD" w:rsidRDefault="00AA05C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AA05CD" w:rsidRDefault="00AA05CD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AA05CD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A7EC6"/>
    <w:multiLevelType w:val="multilevel"/>
    <w:tmpl w:val="6C50C5B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3E364D31"/>
    <w:multiLevelType w:val="multilevel"/>
    <w:tmpl w:val="4A8E7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171CBC"/>
    <w:multiLevelType w:val="multilevel"/>
    <w:tmpl w:val="066826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CD"/>
    <w:rsid w:val="00364CDF"/>
    <w:rsid w:val="003E40CF"/>
    <w:rsid w:val="006E4C53"/>
    <w:rsid w:val="00AA05CD"/>
    <w:rsid w:val="00DD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6686"/>
  <w15:docId w15:val="{DD44DF39-4BFF-494B-8B60-1987098B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ugba.gumustas@maltepe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4</cp:revision>
  <dcterms:created xsi:type="dcterms:W3CDTF">2024-04-01T21:53:00Z</dcterms:created>
  <dcterms:modified xsi:type="dcterms:W3CDTF">2025-09-10T09:22:00Z</dcterms:modified>
</cp:coreProperties>
</file>